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5" w:rsidRDefault="00952085" w:rsidP="001E6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реализации </w:t>
      </w:r>
      <w:r w:rsidR="00F706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</w:t>
      </w:r>
      <w:r w:rsidRPr="00952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елей устойчивого развития</w:t>
      </w:r>
    </w:p>
    <w:p w:rsidR="006F5E5B" w:rsidRPr="00952085" w:rsidRDefault="006F5E5B" w:rsidP="001E6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085" w:rsidRP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2015 года государства – члены ООН приняли повестку дня в области устойчивого развития на период</w:t>
      </w:r>
      <w:r w:rsidR="00F7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 Она содержит 17 Ц</w:t>
      </w: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устойчивого развития (далее – ЦУР):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Повсеместная ликвидация нищеты во всех ее формах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содействие устойчивому развитию сельского хозяйства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равенства и расширение прав и возможностей всех женщин и девочек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и рационального использования водных ресурсов и санитарии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всеобщего доступа к недорогим, надежным, устойчивым и современным источникам энергии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стойкой инфраструктуры, содействие всеохватной и устойчивой индустриализации и инновациям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неравенства внутри стран и между ними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открытости, безопасности, жизнестойкости и экологической устойчивости городов и населенных пунктов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перехода к рациональным моделям потребления и производства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срочных мер по борьбе с изменением климата и его последствиями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рациональное использование океанов, морей и морских ресурсов в интересах устойчивого развития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 восстановление экосистем </w:t>
      </w:r>
      <w:proofErr w:type="gram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</w:t>
      </w:r>
      <w:proofErr w:type="gram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</w:t>
      </w:r>
      <w:proofErr w:type="spellEnd"/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952085" w:rsidRPr="00952085" w:rsidRDefault="00952085" w:rsidP="001E6F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:rsidR="00952085" w:rsidRP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17 целей содержит ряд показателей, которые должны быть достигнуты в течение 15 лет.</w:t>
      </w:r>
    </w:p>
    <w:p w:rsidR="00952085" w:rsidRP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руководством Национального координатора по достижению ЦУР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Щеткиной</w:t>
      </w:r>
      <w:proofErr w:type="spell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создан совет по устойчивому развитию, утверждены логотипы и знаки ЦУР. От Мин</w:t>
      </w:r>
      <w:r w:rsidR="00F7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F7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</w:t>
      </w: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входит заместитель Министра – Главный государственный санитарный врач Республики Беларусь Жукова Н.П.</w:t>
      </w:r>
    </w:p>
    <w:p w:rsidR="00952085" w:rsidRDefault="00952085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Республики Беларусь одобрена Национальная стратегия устойчивого социально-экономического развития на период до 2030 года. В рамках стратегии определены цели, этапы и направления перехода Республики Беларусь к постиндустриальному обществу и инновационному развитию экономики при гарантировании всестороннего развития личности, повышении стандартов жизни человека и обеспечении благоприятной окружающей среды. Она призвана устранить имеющиеся дисбалансы и создать прочный фундамент для дальнейшего устойчивого развития на основе модернизации системы экономических отношений и эффективного управления на всех территориальных уровнях с целью равновесия между социальным, экономическим и </w:t>
      </w:r>
      <w:proofErr w:type="spell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экологобезопасным</w:t>
      </w:r>
      <w:proofErr w:type="spellEnd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страны. </w:t>
      </w:r>
      <w:proofErr w:type="gramStart"/>
      <w:r w:rsidRPr="00952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перспективной модели национальной экономики будет направлена на переход от преимущественно административного к индикативному механизму планирования, достижение равного вклада государственной и частной собственности в создание валового внутреннего продукта страны, внедрение принципов «зеленой экономики» в производство, формирование высокотехнологичного сектора и опережающее развитие сферы услуг, предоставление максимальных возможностей для реализации личностного потенциала человека.</w:t>
      </w:r>
      <w:proofErr w:type="gramEnd"/>
    </w:p>
    <w:p w:rsidR="006F5E5B" w:rsidRPr="00952085" w:rsidRDefault="006F5E5B" w:rsidP="006F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85" w:rsidRPr="00952085" w:rsidRDefault="00952085" w:rsidP="001E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1585" cy="3179445"/>
            <wp:effectExtent l="19050" t="0" r="0" b="0"/>
            <wp:docPr id="1" name="Рисунок 1" descr="http://gmlocge.by/sites/default/files/m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me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B6" w:rsidRDefault="00F706B6" w:rsidP="001E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63" w:rsidRDefault="00F706B6" w:rsidP="006F5E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1600"/>
          <w:sz w:val="28"/>
          <w:szCs w:val="28"/>
        </w:rPr>
      </w:pPr>
      <w:r w:rsidRPr="00F706B6">
        <w:rPr>
          <w:rFonts w:ascii="Times New Roman" w:hAnsi="Times New Roman" w:cs="Times New Roman"/>
          <w:color w:val="291600"/>
          <w:sz w:val="28"/>
          <w:szCs w:val="28"/>
        </w:rPr>
        <w:t>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11 показателей ЦУР</w:t>
      </w:r>
      <w:r>
        <w:rPr>
          <w:rFonts w:ascii="Times New Roman" w:hAnsi="Times New Roman" w:cs="Times New Roman"/>
          <w:color w:val="291600"/>
          <w:sz w:val="28"/>
          <w:szCs w:val="28"/>
        </w:rPr>
        <w:t>:</w:t>
      </w:r>
    </w:p>
    <w:p w:rsidR="00082E82" w:rsidRDefault="00082E82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3.3.1 Число новых заражений ВИЧ на 1000 неинфицированных в разбивке по полу, возрасту и принадлежности к основным группам населения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3.3.3 Заболеваемость малярией на 1000 человек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3.3.4 Заболеваемость гепатитом B на 100000 человек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3.9.1 Смертность от загрязнения воздуха в жилых помещениях и атмосферного воздуха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3.9.2 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3.b.1 Доля целевой группы населения, охваченная иммунизацией всеми вакцинами, включенными в национальные программы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3.d.1 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color w:val="291600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6.b.1 Доля местных административных единиц, в которых действуют правила и процедуры участия граждан в управлении водными ресурсами и санитарией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7.1.2. «Доступ к чистым источникам энергии и технологиям в быту»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 xml:space="preserve">11.6.2 «Среднегодовой уровень содержания мелких твердых частиц (класса </w:t>
      </w:r>
      <w:r w:rsidRPr="006F5E5B">
        <w:rPr>
          <w:rFonts w:ascii="Times New Roman" w:hAnsi="Times New Roman"/>
          <w:sz w:val="28"/>
          <w:szCs w:val="28"/>
          <w:lang w:val="en-US"/>
        </w:rPr>
        <w:t>PM</w:t>
      </w:r>
      <w:r w:rsidRPr="006F5E5B">
        <w:rPr>
          <w:rFonts w:ascii="Times New Roman" w:hAnsi="Times New Roman"/>
          <w:sz w:val="28"/>
          <w:szCs w:val="28"/>
        </w:rPr>
        <w:t>) в атмосфере отдельных городов (в пересчете на численность населения»</w:t>
      </w: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93F" w:rsidRPr="006F5E5B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F5E5B">
        <w:rPr>
          <w:rFonts w:ascii="Times New Roman" w:hAnsi="Times New Roman"/>
          <w:sz w:val="28"/>
          <w:szCs w:val="28"/>
        </w:rPr>
        <w:t>11.7.1. «Средняя доля застроенной городской территории, относящейся к открытым для всех общественным местам, с указанием в разбивке по полу, возрасту и признаку инвалидности»</w:t>
      </w:r>
    </w:p>
    <w:p w:rsidR="0053193F" w:rsidRPr="007A5C28" w:rsidRDefault="0053193F" w:rsidP="001E6F01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193F" w:rsidRDefault="0053193F" w:rsidP="001E6F01">
      <w:pPr>
        <w:spacing w:after="0" w:line="240" w:lineRule="auto"/>
        <w:jc w:val="both"/>
        <w:rPr>
          <w:rFonts w:ascii="Times New Roman" w:hAnsi="Times New Roman" w:cs="Times New Roman"/>
          <w:color w:val="291600"/>
          <w:sz w:val="28"/>
          <w:szCs w:val="28"/>
        </w:rPr>
      </w:pPr>
    </w:p>
    <w:p w:rsidR="00473CD8" w:rsidRPr="00F706B6" w:rsidRDefault="00473CD8" w:rsidP="001E6F01">
      <w:pPr>
        <w:spacing w:after="0" w:line="240" w:lineRule="auto"/>
        <w:jc w:val="both"/>
        <w:rPr>
          <w:sz w:val="28"/>
          <w:szCs w:val="28"/>
        </w:rPr>
      </w:pPr>
    </w:p>
    <w:sectPr w:rsidR="00473CD8" w:rsidRPr="00F706B6" w:rsidSect="00AF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146"/>
    <w:multiLevelType w:val="multilevel"/>
    <w:tmpl w:val="647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085"/>
    <w:rsid w:val="00082E82"/>
    <w:rsid w:val="0018272C"/>
    <w:rsid w:val="001E6F01"/>
    <w:rsid w:val="00204BDC"/>
    <w:rsid w:val="0042245D"/>
    <w:rsid w:val="00473CD8"/>
    <w:rsid w:val="0053193F"/>
    <w:rsid w:val="006F5E5B"/>
    <w:rsid w:val="00952085"/>
    <w:rsid w:val="00AF3163"/>
    <w:rsid w:val="00F7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63"/>
  </w:style>
  <w:style w:type="paragraph" w:styleId="1">
    <w:name w:val="heading 1"/>
    <w:basedOn w:val="a"/>
    <w:link w:val="10"/>
    <w:uiPriority w:val="9"/>
    <w:qFormat/>
    <w:rsid w:val="0095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93F"/>
    <w:pPr>
      <w:ind w:left="720"/>
      <w:contextualSpacing/>
    </w:pPr>
    <w:rPr>
      <w:rFonts w:ascii="Calibri" w:eastAsia="Calibri" w:hAnsi="Calibri" w:cs="Times New Roman"/>
      <w:lang w:val="be-BY"/>
    </w:rPr>
  </w:style>
  <w:style w:type="table" w:styleId="a7">
    <w:name w:val="Table Grid"/>
    <w:basedOn w:val="a1"/>
    <w:uiPriority w:val="59"/>
    <w:rsid w:val="005319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yanchenkova</dc:creator>
  <cp:lastModifiedBy>yanchenkova</cp:lastModifiedBy>
  <cp:revision>8</cp:revision>
  <dcterms:created xsi:type="dcterms:W3CDTF">2019-03-22T11:13:00Z</dcterms:created>
  <dcterms:modified xsi:type="dcterms:W3CDTF">2019-03-22T11:54:00Z</dcterms:modified>
</cp:coreProperties>
</file>