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7D7AC" w14:textId="1E0D780F" w:rsidR="00393A5D" w:rsidRPr="00393A5D" w:rsidRDefault="00393A5D" w:rsidP="008B0EDB">
      <w:pPr>
        <w:tabs>
          <w:tab w:val="center" w:pos="503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6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устойчивого развития</w:t>
      </w:r>
    </w:p>
    <w:p w14:paraId="07B2C6C3" w14:textId="78272468" w:rsidR="00512BA1" w:rsidRPr="00512BA1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обеспечения адекватного ответа на угрозы формирования опасных условий для жизнедеятельности людей и преобладание потребительского направления социально-экономического развития, 193 государства на Генеральной Ассамблее ООН 25 сентября 2015 года приняли Резолюцию «Преобразование нашего мира: Повестка дня в области устойчивого развития на период до 2030 года» (Повестка-2030), которая определила на ближайшие 15 лет глобальную стратегию и Цели устойчивого развития (ЦУР). Основу Повестки-2030 составляют пять основных компонентов: люди, процветание, планета, партнерство и мир. 17 ЦУР и 169 подчиненных им задач направлены на обеспечение равномерного прогресса в трех основных аспектах устойчивого развития: экономического роста, социальной интеграции и охраны окружающей среды. Также определена необходимость отслеживания решения поставленных задач при помощи глобальных и национальных показателей. </w:t>
      </w:r>
    </w:p>
    <w:p w14:paraId="707FD405" w14:textId="77777777" w:rsidR="00512BA1" w:rsidRPr="00512BA1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2015 году Республика Беларусь приняла обязательства по достижению ЦУР в рамках Повестки-2030 (обеспечение поступательного экономического роста, углубления социальной интеграции, внедрения новых экологических инициатив) и предпринимает усилия по их реализации на глобальном, национальном и региональном уровнях. </w:t>
      </w:r>
    </w:p>
    <w:p w14:paraId="12FA35F8" w14:textId="1AFC7EC4" w:rsidR="00512BA1" w:rsidRPr="00512BA1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Минская декларация «Охват всех этапов жизни в контексте положений политики Здоровье-2020». Государства-члены Европейского региона, собравшиеся 21–22 октября 2015 г. в Минске (Беларусь) на Европейской министерской конференции ВОЗ «Охват всех этапов жизни в контексте положений политики Здоровье-2020», единодушно признали принцип охвата всех этапов жизни важнейшим шагом в реализации политики Здоровье-2020 и целей и задач, стоящих на Повестке дня ООН в области устойчивого развития на период до 2030 года.</w:t>
      </w:r>
      <w:r w:rsidR="00406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B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принцип охвата всех этапов жизни состоит из следующих компонентов: действовать как можно раньше; действовать надлежащим образом по отношению к переходным этапам жизни; действовать сообща, силами всего общества.</w:t>
      </w:r>
    </w:p>
    <w:p w14:paraId="4ED26D64" w14:textId="5C1969B1" w:rsidR="00994097" w:rsidRDefault="00512BA1" w:rsidP="00512BA1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9F7AB1" w14:textId="59A48153" w:rsidR="000B6F5A" w:rsidRDefault="00DF5221" w:rsidP="00F3572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 управления процессом достижения ЦУР в Республике Беларусь</w:t>
      </w:r>
      <w:r w:rsidR="00BC7A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6F5A" w:rsidRPr="000B6F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собой четко выстроенную многоуровневую систему, обеспечивающую реализацию 17 целей к 2030 году. Она включает институт Национального координатора, Совет по устойчивому развитию, парламентскую структуру и партнерские группы. </w:t>
      </w:r>
    </w:p>
    <w:p w14:paraId="6EB32327" w14:textId="1D1C02AD" w:rsidR="00DF5221" w:rsidRPr="00DF5221" w:rsidRDefault="004B11DC" w:rsidP="00F3572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</w:t>
      </w:r>
      <w:r w:rsidRPr="004B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Национального координатора по достижению Целей устойчивого развития</w:t>
      </w:r>
      <w:r w:rsidRPr="004B1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направлена на координацию усилий по достижению ЦУР и реализуется в соответствии с Указом Президента Республики Беларусь от 25 мая 2017 г. № 181 «О Национальном координаторе по достижению Целей устойчивого развития»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28</w:t>
      </w:r>
      <w:r w:rsidR="005C6FEF" w:rsidRPr="005970B8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апрел</w:t>
      </w:r>
      <w:r w:rsidR="00D007AD" w:rsidRPr="005970B8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я</w:t>
      </w:r>
      <w:r w:rsidR="005C6FEF" w:rsidRPr="005970B8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202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6</w:t>
      </w:r>
      <w:r w:rsidR="005C6FEF" w:rsidRPr="005970B8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года Национальным координатором по достижению Целей устойчивого развития назначен </w:t>
      </w:r>
      <w:r w:rsidR="00F35725" w:rsidRP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председател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ь</w:t>
      </w:r>
      <w:r w:rsidR="00F35725" w:rsidRP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Постоянной комиссии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</w:t>
      </w:r>
      <w:r w:rsidR="00F35725" w:rsidRP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Совета Республики Национального собрания Республики Беларусь по международным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</w:t>
      </w:r>
      <w:r w:rsidR="00F35725" w:rsidRP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делам и национальной безопасности</w:t>
      </w:r>
      <w:r w:rsidR="005C6FEF" w:rsidRPr="005970B8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Сергей</w:t>
      </w:r>
      <w:r w:rsidR="0092407D" w:rsidRPr="005970B8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 xml:space="preserve"> </w:t>
      </w:r>
      <w:r w:rsidR="00F35725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Алейник</w:t>
      </w:r>
      <w:r w:rsidR="005C6FEF" w:rsidRPr="005970B8">
        <w:rPr>
          <w:rFonts w:ascii="Times New Roman" w:eastAsia="Times New Roman" w:hAnsi="Times New Roman" w:cs="Times New Roman"/>
          <w:sz w:val="24"/>
          <w:szCs w:val="24"/>
          <w:shd w:val="clear" w:color="auto" w:fill="FBE4D5" w:themeFill="accent2" w:themeFillTint="33"/>
          <w:lang w:eastAsia="ru-RU"/>
        </w:rPr>
        <w:t>.</w:t>
      </w:r>
      <w:r w:rsidR="005C6FEF" w:rsidRPr="005C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0D020F" w14:textId="018F99D3" w:rsidR="00DF5221" w:rsidRPr="00DF5221" w:rsidRDefault="00F16968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Министерства здравоохранения Республики Беларусь в состав </w:t>
      </w:r>
      <w:r w:rsidRPr="00135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</w:t>
      </w:r>
      <w:r w:rsidR="00135281" w:rsidRPr="001352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устойчивому развитию</w:t>
      </w:r>
      <w:r w:rsidR="00135281"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6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заместитель Министра – Главный государственный санитарный врач Республики Беларусь. </w:t>
      </w:r>
    </w:p>
    <w:p w14:paraId="5835CB0B" w14:textId="77777777" w:rsidR="00116237" w:rsidRPr="00116237" w:rsidRDefault="00116237" w:rsidP="001162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работы по достижению ЦУР в регионах и содействия их сбалансированному развитию созданы </w:t>
      </w:r>
      <w:r w:rsidRPr="001162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Региональные группы устойчивого развития</w:t>
      </w: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возглавляют члены Совета по устойчивому развитию – заместители председателей областных и Минского городского исполнительных комитетов. В Гомельской области организационно-методологическое обеспечение деятельности региональной группы по устойчивому развитию Гомельской области и секторальных групп в ее составе (по экономическим, экологическим и социальным вопросам) осуществляет комитет экономики Гомельского облисполкома. Руководителем региональной группы является заместитель председателя Гомельского облисполкома, курирующий вопросы экономики и экономической реформы, внешнеэкономической и банковской деятельности, налоговой и </w:t>
      </w: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финансовой политики, топливно-энергетического комплекса, энергосбережения, статистического анализа, ценообразования, развития промышленности. Главный государственный санитарный врач Гомельской области включен в состав секторальной группы по экологическим вопросам, заместитель начальника главного управления по здравоохранению Гомельского облисполкома – в состав секторальной группы по социальным вопросам.</w:t>
      </w:r>
    </w:p>
    <w:p w14:paraId="7C245B93" w14:textId="22BB3E76" w:rsidR="00F70564" w:rsidRDefault="00116237" w:rsidP="0011623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группа по устойчивому развитию работает с </w:t>
      </w:r>
      <w:proofErr w:type="spellStart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горрайисполкомами</w:t>
      </w:r>
      <w:proofErr w:type="spellEnd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достижения показателей ЦУР. На уровне административных территорий результаты мониторинга показателей ЦУР рассматриваются группами по устойчивому развитию при </w:t>
      </w:r>
      <w:proofErr w:type="spellStart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горрайисполкомах</w:t>
      </w:r>
      <w:proofErr w:type="spellEnd"/>
      <w:r w:rsidRPr="0011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территориальными межведомственными комиссиями/советами по формированию здорового образа жизни, профилактике ВИЧ-инфекции и венерических заболеваний и достижению ЦУР на административной территории.</w:t>
      </w:r>
    </w:p>
    <w:p w14:paraId="44E9519E" w14:textId="77777777" w:rsidR="004D4E56" w:rsidRDefault="004D4E56" w:rsidP="00290738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  <w:lang w:eastAsia="ru-RU"/>
        </w:rPr>
      </w:pPr>
    </w:p>
    <w:p w14:paraId="45B42E68" w14:textId="74719836" w:rsidR="00B17043" w:rsidRPr="00B17043" w:rsidRDefault="00B17043" w:rsidP="00290738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6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стратегические документы по достижению ЦУР в Республике Беларусь.</w:t>
      </w:r>
    </w:p>
    <w:p w14:paraId="1AAC465F" w14:textId="08269873" w:rsidR="000415F5" w:rsidRPr="000415F5" w:rsidRDefault="000415F5" w:rsidP="000415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Беларусь от 2 мая 2017 года № 10 одобрена </w:t>
      </w:r>
      <w:r w:rsidRPr="00ED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стратегия устойчивого социально-экономического развития Республики Беларусь на период до 2030 года (НСУР-2030)</w:t>
      </w:r>
      <w:r w:rsidRPr="0004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которой определены цели, этапы и направления стабильного развития трех взаимосвязанных и взаимодополняющих компонентов: человека (социальный компонент), конкурентоспособной экономики (экономический) и качества окружающей среды (экологический). </w:t>
      </w:r>
      <w:r w:rsidR="00EE4D9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415F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истема, изложенная в НСУР</w:t>
      </w:r>
      <w:r w:rsidR="007E0F53">
        <w:rPr>
          <w:rFonts w:ascii="Times New Roman" w:eastAsia="Times New Roman" w:hAnsi="Times New Roman" w:cs="Times New Roman"/>
          <w:sz w:val="24"/>
          <w:szCs w:val="24"/>
          <w:lang w:eastAsia="ru-RU"/>
        </w:rPr>
        <w:t>-2030</w:t>
      </w:r>
      <w:r w:rsidRPr="000415F5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является основой для разработки прогнозов и программ социально-экономического развития республики на средне- и краткосрочную перспективы.</w:t>
      </w:r>
    </w:p>
    <w:p w14:paraId="0C924571" w14:textId="0ED114C5" w:rsidR="000415F5" w:rsidRPr="000415F5" w:rsidRDefault="000415F5" w:rsidP="000415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заседания Президиума Совета Министров Республики Беларусь от 4 февраля 2020 г. № 3 утверждена </w:t>
      </w:r>
      <w:r w:rsidRPr="00ED4D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стратегия устойчивого развития Республики Беларусь на период до 2035 года (НСУР-2035)</w:t>
      </w:r>
      <w:r w:rsidRPr="00041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9410A4C" w14:textId="024DA9B3" w:rsidR="000415F5" w:rsidRDefault="000415F5" w:rsidP="000415F5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F5">
        <w:rPr>
          <w:rFonts w:ascii="Times New Roman" w:eastAsia="Times New Roman" w:hAnsi="Times New Roman" w:cs="Times New Roman"/>
          <w:sz w:val="24"/>
          <w:szCs w:val="24"/>
          <w:lang w:eastAsia="ru-RU"/>
        </w:rPr>
        <w:t>НСУР-2035 установлены следующие приоритеты устойчивого развития: устойчивое развитие института семьи и качественный рост человеческого потенциала; производительная занятость и достойные доходы населения; цифровая трансформация экономики и широкомасштабное распространение инноваций; создание развитой бизнес-среды и устойчивой инфраструктуры; обеспечение экологической безопасности, переход к рациональным моделям производства и потребления (циркулярной экономике).</w:t>
      </w:r>
    </w:p>
    <w:p w14:paraId="2991B869" w14:textId="294D9E16" w:rsidR="0085461D" w:rsidRPr="004878C8" w:rsidRDefault="0085461D" w:rsidP="007277F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1D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Правительством была одобрена</w:t>
      </w:r>
      <w:r w:rsidRPr="00854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Национальная стратегия устойчивого развития на период до 2040 года</w:t>
      </w:r>
      <w:r w:rsidR="00487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878C8" w:rsidRPr="004878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Стратегическая цель НСУР-2040 - рост качества жизни населения. Среди ожидаемых результатов в сфере демографической безопасности – стабилизация численности населения и обеспечение перехода к устойчивому демографическому развитию, увеличение ожидаемой продолжительности жизни населения различных половозрастных и социальных групп, поддержка физического здоровья и стимулирование здорового образа жизни.</w:t>
      </w:r>
    </w:p>
    <w:p w14:paraId="5E116460" w14:textId="372DF36D" w:rsidR="004A383E" w:rsidRDefault="009F6C98" w:rsidP="004A383E">
      <w:pPr>
        <w:shd w:val="clear" w:color="auto" w:fill="FBE4D5" w:themeFill="accent2" w:themeFillTint="3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Гомельским областным исполнительным комитетом </w:t>
      </w:r>
      <w:r w:rsidR="00B95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 w:rsidR="008D5516" w:rsidRPr="008D5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Региональная стратегия  устойчивого развития (РСУР) Гомельской области  на период до 2040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D5516" w:rsidRPr="008D5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273E3" w:rsidRPr="00B95C1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273E3" w:rsidRPr="00B273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пределены следующие приоритеты развития: развитие производственного потенциала, технологическое обновление на основе цифровых технологий, создание новых производств, обеспечение трудовыми ресурсами, формирование благоприятного инвестиционный климата для роста предпринимательской и инновационной активности, сохранение и умножение человеческого потенциала, повышение экологической устойчивости в соответствии с принципами «зеленой» и циркулярной экономики, повышение устойчивости развития территорий, пострадавших в результате катастрофы на ЧАЭС.</w:t>
      </w:r>
    </w:p>
    <w:p w14:paraId="5998E769" w14:textId="053C2E21" w:rsidR="00E461F5" w:rsidRPr="00E461F5" w:rsidRDefault="00E17EE2" w:rsidP="008D5516">
      <w:pPr>
        <w:shd w:val="clear" w:color="auto" w:fill="FBE4D5" w:themeFill="accent2" w:themeFillTint="3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E461F5" w:rsidRPr="00E461F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https://sdgs.by/wp-content/uploads/2026/02/gomel-region_strategy-2040_elektronnaya-versiya.pdf</w:t>
        </w:r>
      </w:hyperlink>
    </w:p>
    <w:p w14:paraId="5CA2F2E9" w14:textId="77777777" w:rsidR="009863E9" w:rsidRDefault="009863E9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9F20D" w14:textId="35356651" w:rsidR="0001209A" w:rsidRDefault="00CB245A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о ЦУР, архитектура управления, руководства, стратегические и программные документы, логотипы ЦУР представлены на сайте «Цели устойчивого развития в Беларуси»</w:t>
      </w:r>
      <w:r w:rsid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DC53D" w14:textId="014B2A13" w:rsidR="004B679B" w:rsidRDefault="00E17EE2" w:rsidP="000120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https://sdgs.by/</w:t>
        </w:r>
      </w:hyperlink>
      <w:r w:rsidR="004B6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D5B31D" w14:textId="77777777" w:rsidR="0001209A" w:rsidRDefault="0001209A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5392A" w14:textId="3D4E1DB0" w:rsidR="00CB245A" w:rsidRPr="00A90A25" w:rsidRDefault="004B679B" w:rsidP="0029073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Статистика показателей ЦУР представлена на официальном сайте Национального статистического комитета Республики Беларусь</w:t>
      </w:r>
      <w:r w:rsid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09BA3EC" w14:textId="585D41D9" w:rsidR="006F1E10" w:rsidRPr="0001209A" w:rsidRDefault="0001209A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платформа представления отчетности по показателям ЦУР</w:t>
      </w:r>
    </w:p>
    <w:p w14:paraId="1149B6C3" w14:textId="41955037" w:rsidR="0001209A" w:rsidRDefault="00E17EE2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9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https://sdgplatform.belstat.gov.by/</w:t>
        </w:r>
      </w:hyperlink>
    </w:p>
    <w:p w14:paraId="3473F30C" w14:textId="77777777" w:rsidR="0001209A" w:rsidRDefault="0001209A" w:rsidP="00957142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3152A" w14:textId="394558FF" w:rsidR="0001209A" w:rsidRPr="0001209A" w:rsidRDefault="0001209A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209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региональных данных по устойчивому развитию</w:t>
      </w:r>
    </w:p>
    <w:p w14:paraId="2795DBFC" w14:textId="115BBBC8" w:rsidR="0001209A" w:rsidRDefault="00E17EE2" w:rsidP="00957142">
      <w:pPr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10" w:history="1">
        <w:r w:rsidR="0001209A" w:rsidRPr="00FE761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https://sdgregions.belstat.gov.by/?regionId=all</w:t>
        </w:r>
      </w:hyperlink>
    </w:p>
    <w:p w14:paraId="502BC0D6" w14:textId="7707B4C3" w:rsidR="00881060" w:rsidRDefault="00E17EE2" w:rsidP="00957142">
      <w:pPr>
        <w:pStyle w:val="a4"/>
        <w:spacing w:before="0" w:beforeAutospacing="0" w:after="0" w:afterAutospacing="0"/>
      </w:pPr>
      <w:hyperlink r:id="rId11" w:history="1"/>
    </w:p>
    <w:p w14:paraId="4E5C8F07" w14:textId="77777777" w:rsidR="00B61268" w:rsidRDefault="00B61268" w:rsidP="00957142">
      <w:pPr>
        <w:pStyle w:val="a4"/>
        <w:spacing w:before="0" w:beforeAutospacing="0" w:after="0" w:afterAutospacing="0"/>
      </w:pPr>
    </w:p>
    <w:p w14:paraId="7E00E664" w14:textId="621727C5" w:rsidR="00F97E69" w:rsidRPr="00F82109" w:rsidRDefault="0001209A" w:rsidP="00F82109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806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Мониторинг д</w:t>
      </w:r>
      <w:r w:rsidR="00F97E69" w:rsidRPr="007806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остижени</w:t>
      </w:r>
      <w:r w:rsidRPr="007806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я показателей </w:t>
      </w:r>
      <w:r w:rsidR="00F97E69" w:rsidRPr="007806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ЦУР.</w:t>
      </w:r>
    </w:p>
    <w:p w14:paraId="0393898F" w14:textId="77777777" w:rsidR="00F97E69" w:rsidRDefault="00F97E69" w:rsidP="00F97E6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ЦУР в области здоровья – важная часть эффективной социальной политики государства на основе реализации комплексного подхода, скоординированных действий всех национальных партнеров в экономической, социальной и природоохранной сферах.</w:t>
      </w:r>
    </w:p>
    <w:p w14:paraId="00CB9B85" w14:textId="094B43AA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деятельности Министерства здравоохранения Республики Беларусь (Минздрав) по управлению достижением показателей ЦУР возложена на Методический совет по мониторингу и оценке устойчивости развития во главе с заместителем Министра – Главным государственным санитарным врачом Республики Беларусь.</w:t>
      </w:r>
    </w:p>
    <w:p w14:paraId="1E19DE23" w14:textId="724DCB6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пунктом 5 протокола совещания Совета по устойчивому развитию от 14.12.2020 № 5 Минздрав определен ответственным за реализацию 33 национальных показателей из ЦУР № 2 </w:t>
      </w:r>
      <w:r w:rsidR="0058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«Ликвидация голода» 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и № 3</w:t>
      </w:r>
      <w:r w:rsidR="0058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«Хорошее здоровье и благополучие»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14:paraId="616BAD9F" w14:textId="34CD38C8" w:rsidR="00CB245A" w:rsidRDefault="007B7788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направлений деятельности учреждений государственного санитарного надзора – обеспечение устойчивого санитарно-эпидемиологического благополучия населения, участие в реализации государственной политики по оздоровлению среды жизнедеятельности, профилактике болезней и формированию здорового образа жизни населения.</w:t>
      </w:r>
      <w:r w:rsidR="00FC3C5F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задач является </w:t>
      </w:r>
      <w:r w:rsidR="00CB2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</w:t>
      </w:r>
      <w:r w:rsidR="00554393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достижения </w:t>
      </w:r>
      <w:r w:rsidR="00CB2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554393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устойчивого развития в области здоровья населения и качества окружающей среды, в том числе: </w:t>
      </w:r>
    </w:p>
    <w:p w14:paraId="7AF087FC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«Число новых заражений ВИЧ на 1 000 неинфицированных в разбивке по полу и возрасту»;</w:t>
      </w:r>
    </w:p>
    <w:p w14:paraId="789DC12F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3.3.3: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«Заболеваемость малярией на 1 000 человек»;</w:t>
      </w:r>
    </w:p>
    <w:p w14:paraId="570924FB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3.3.4: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«Заболеваемость гепатитом В на 100 000 человек»;</w:t>
      </w:r>
    </w:p>
    <w:p w14:paraId="14DC833C" w14:textId="77777777" w:rsidR="00CA241A" w:rsidRPr="00A90A25" w:rsidRDefault="00CA241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3.3.5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людей, нуждающихся в лечении от «забытых» тропических болезней;</w:t>
      </w:r>
    </w:p>
    <w:p w14:paraId="6AA3444D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«Смертность от загрязнения воздуха в жилых помещениях и атмосферного воздуха»;</w:t>
      </w:r>
    </w:p>
    <w:p w14:paraId="14801DF5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3.9.2: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всех»;</w:t>
      </w:r>
    </w:p>
    <w:p w14:paraId="120A0DA2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3.а.1.1.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Распространенность употребления табака лицами в возрасте 16 лет и старше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B9BA39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3.b.1: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«Доля целевой группы населения, охваченная иммунизацией всеми вакцинами, включенными в национальные программы»;</w:t>
      </w:r>
    </w:p>
    <w:p w14:paraId="3E29E34A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3.d.1: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«Способность соблюдать Международные медико-санитарные правила (ММСП) и готовность к чрезвычайным ситуациям в области общественного здравоохранения»;</w:t>
      </w:r>
    </w:p>
    <w:p w14:paraId="68016BC4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3.d.2.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Процентная доля инфекций кровотока, вызываемых отдельными организмами, устойчивыми к противомикробным препаратам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9902EE6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Доля населения, пользующегося услугами водоснабжения, организованного с соблюдением требований безопасности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63E839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6.2.1.1.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 населения, использующего организованные с соблюдением требований безопасности услуги санитарии, включая устройства для мытья рук с мылом и водой (процент)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D0B529" w14:textId="77777777" w:rsidR="000E0D0E" w:rsidRPr="00A90A25" w:rsidRDefault="000E0D0E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6.3.1.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Доля отведенных сточных вод, нормативно-очищенных на сооружениях очистки, в общем объеме нормативно-очищенных на </w:t>
      </w:r>
      <w:bookmarkStart w:id="1" w:name="_Hlk113620687"/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сооружениях очистки и недостаточно очищенных сточных вод (процент)</w:t>
      </w:r>
      <w:bookmarkEnd w:id="1"/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C2D9A9" w14:textId="77777777" w:rsidR="00475782" w:rsidRPr="00A90A25" w:rsidRDefault="00475782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6.а.1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 официальной помощи в целях развития, выделенной на водоснабжение и санитарию в рамках координируемой государственной программы расходов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24F438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6.b.1: 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«Доля местных административных единиц, в которых действуют правила и процедуры участия граждан в управлении водными ресурсами и санитарией»</w:t>
      </w:r>
      <w:r w:rsidR="008F4C8D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DBA01A7" w14:textId="77777777" w:rsidR="00CB245A" w:rsidRPr="00A90A25" w:rsidRDefault="00CB245A" w:rsidP="0095714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11.6.2</w:t>
      </w:r>
      <w:r w:rsidR="007B17D3"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</w:t>
      </w: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«Среднегодовой уровень содержания мелких твердых частиц (класса РМ</w:t>
      </w:r>
      <w:r w:rsidRPr="00A90A2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атмосфере отдельных городов (в пересчете на численность населения)»;</w:t>
      </w:r>
    </w:p>
    <w:p w14:paraId="23DE4082" w14:textId="77777777" w:rsidR="00CB245A" w:rsidRPr="00A90A25" w:rsidRDefault="00CB245A" w:rsidP="00957142">
      <w:pPr>
        <w:tabs>
          <w:tab w:val="left" w:pos="7785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7.1.2:</w:t>
      </w: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 «Доступ к чистым источникам энергии и технологиям в быту».</w:t>
      </w:r>
      <w:r w:rsidR="00DB345A"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A46928" w14:textId="77777777" w:rsidR="007A6A30" w:rsidRDefault="007A6A30" w:rsidP="009571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BA5D92" w14:textId="009C5639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устойчивого развития территории в области здоровья интегрирует три составляющие:</w:t>
      </w:r>
    </w:p>
    <w:p w14:paraId="77A4873F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медико-демографической устойчивости территории;</w:t>
      </w:r>
    </w:p>
    <w:p w14:paraId="7DE57A96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государственной политики по оздоровлению среды обитания, профилактике болезней и формированию у населения здорового образа жизни;</w:t>
      </w:r>
    </w:p>
    <w:p w14:paraId="679CD2B0" w14:textId="77777777" w:rsidR="00CB245A" w:rsidRPr="00A90A25" w:rsidRDefault="00CB245A" w:rsidP="009571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A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устойчивости системы здравоохранения.</w:t>
      </w:r>
    </w:p>
    <w:p w14:paraId="36DCBC0D" w14:textId="77777777" w:rsidR="007A6A30" w:rsidRDefault="007A6A30" w:rsidP="00957142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2F8F02A" w14:textId="77777777" w:rsidR="00834019" w:rsidRDefault="00CE42A6" w:rsidP="0083401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6CAF8070" w14:textId="566244DF" w:rsidR="007E054F" w:rsidRPr="007E054F" w:rsidRDefault="007E054F" w:rsidP="008340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5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Графики показателей ЦУР Гомельская область 202</w:t>
      </w:r>
      <w:r w:rsidR="0083401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5</w:t>
      </w:r>
      <w:r w:rsidRPr="007E054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год</w:t>
      </w:r>
    </w:p>
    <w:p w14:paraId="4F50B156" w14:textId="77777777" w:rsidR="007E054F" w:rsidRPr="004F0696" w:rsidRDefault="007E054F" w:rsidP="00957142">
      <w:pPr>
        <w:rPr>
          <w:rFonts w:ascii="Times New Roman" w:hAnsi="Times New Roman" w:cs="Times New Roman"/>
          <w:color w:val="0000FF"/>
        </w:rPr>
      </w:pPr>
    </w:p>
    <w:sectPr w:rsidR="007E054F" w:rsidRPr="004F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12D34" w14:textId="77777777" w:rsidR="00E17EE2" w:rsidRDefault="00E17EE2" w:rsidP="00F97E69">
      <w:r>
        <w:separator/>
      </w:r>
    </w:p>
  </w:endnote>
  <w:endnote w:type="continuationSeparator" w:id="0">
    <w:p w14:paraId="38A2CBEE" w14:textId="77777777" w:rsidR="00E17EE2" w:rsidRDefault="00E17EE2" w:rsidP="00F9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7DF8" w14:textId="77777777" w:rsidR="00E17EE2" w:rsidRDefault="00E17EE2" w:rsidP="00F97E69">
      <w:r>
        <w:separator/>
      </w:r>
    </w:p>
  </w:footnote>
  <w:footnote w:type="continuationSeparator" w:id="0">
    <w:p w14:paraId="15ADC092" w14:textId="77777777" w:rsidR="00E17EE2" w:rsidRDefault="00E17EE2" w:rsidP="00F9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136E3"/>
    <w:multiLevelType w:val="multilevel"/>
    <w:tmpl w:val="C63E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5A"/>
    <w:rsid w:val="0001209A"/>
    <w:rsid w:val="000415F5"/>
    <w:rsid w:val="000417A6"/>
    <w:rsid w:val="0004441C"/>
    <w:rsid w:val="00056863"/>
    <w:rsid w:val="000768E1"/>
    <w:rsid w:val="000A3ED6"/>
    <w:rsid w:val="000B6F5A"/>
    <w:rsid w:val="000D28C1"/>
    <w:rsid w:val="000E0D0E"/>
    <w:rsid w:val="000E0FE4"/>
    <w:rsid w:val="000F1BEF"/>
    <w:rsid w:val="00111360"/>
    <w:rsid w:val="00116237"/>
    <w:rsid w:val="00135281"/>
    <w:rsid w:val="00135C07"/>
    <w:rsid w:val="00160AD1"/>
    <w:rsid w:val="00175965"/>
    <w:rsid w:val="0018647B"/>
    <w:rsid w:val="001A5D62"/>
    <w:rsid w:val="001B5682"/>
    <w:rsid w:val="001D0C0F"/>
    <w:rsid w:val="001E3DE5"/>
    <w:rsid w:val="001F1A21"/>
    <w:rsid w:val="0021387B"/>
    <w:rsid w:val="002436D1"/>
    <w:rsid w:val="0025115F"/>
    <w:rsid w:val="002728F4"/>
    <w:rsid w:val="00277413"/>
    <w:rsid w:val="00284F35"/>
    <w:rsid w:val="00290738"/>
    <w:rsid w:val="002937AA"/>
    <w:rsid w:val="002C285B"/>
    <w:rsid w:val="002D7CC0"/>
    <w:rsid w:val="002E0841"/>
    <w:rsid w:val="00337638"/>
    <w:rsid w:val="00376042"/>
    <w:rsid w:val="003837FF"/>
    <w:rsid w:val="00393A5D"/>
    <w:rsid w:val="0039710B"/>
    <w:rsid w:val="003B3F7A"/>
    <w:rsid w:val="003D32F9"/>
    <w:rsid w:val="003F647E"/>
    <w:rsid w:val="0040682D"/>
    <w:rsid w:val="00425454"/>
    <w:rsid w:val="00425A8E"/>
    <w:rsid w:val="004550BB"/>
    <w:rsid w:val="004706F4"/>
    <w:rsid w:val="00475782"/>
    <w:rsid w:val="004878C8"/>
    <w:rsid w:val="004A383E"/>
    <w:rsid w:val="004B11DC"/>
    <w:rsid w:val="004B679B"/>
    <w:rsid w:val="004D3284"/>
    <w:rsid w:val="004D4E56"/>
    <w:rsid w:val="004F0696"/>
    <w:rsid w:val="00512BA1"/>
    <w:rsid w:val="00536075"/>
    <w:rsid w:val="005432B5"/>
    <w:rsid w:val="00554393"/>
    <w:rsid w:val="00585E79"/>
    <w:rsid w:val="00586C73"/>
    <w:rsid w:val="00590338"/>
    <w:rsid w:val="005970B8"/>
    <w:rsid w:val="005A3440"/>
    <w:rsid w:val="005C6FEF"/>
    <w:rsid w:val="006032D4"/>
    <w:rsid w:val="006213C2"/>
    <w:rsid w:val="00623410"/>
    <w:rsid w:val="006F1E10"/>
    <w:rsid w:val="00705A62"/>
    <w:rsid w:val="00713D3A"/>
    <w:rsid w:val="007277F3"/>
    <w:rsid w:val="00742FB9"/>
    <w:rsid w:val="00755CAE"/>
    <w:rsid w:val="007626FE"/>
    <w:rsid w:val="00762FC0"/>
    <w:rsid w:val="00764891"/>
    <w:rsid w:val="00780686"/>
    <w:rsid w:val="00792DC8"/>
    <w:rsid w:val="007A27D9"/>
    <w:rsid w:val="007A2D5E"/>
    <w:rsid w:val="007A6A30"/>
    <w:rsid w:val="007B17D3"/>
    <w:rsid w:val="007B7788"/>
    <w:rsid w:val="007B7B35"/>
    <w:rsid w:val="007D4226"/>
    <w:rsid w:val="007D7FDA"/>
    <w:rsid w:val="007E054F"/>
    <w:rsid w:val="007E0F53"/>
    <w:rsid w:val="007E1589"/>
    <w:rsid w:val="008005A5"/>
    <w:rsid w:val="00804291"/>
    <w:rsid w:val="0081162B"/>
    <w:rsid w:val="00834019"/>
    <w:rsid w:val="0085461D"/>
    <w:rsid w:val="008562FD"/>
    <w:rsid w:val="008644B7"/>
    <w:rsid w:val="00881060"/>
    <w:rsid w:val="008B0EDB"/>
    <w:rsid w:val="008B25AA"/>
    <w:rsid w:val="008B79C8"/>
    <w:rsid w:val="008C0B16"/>
    <w:rsid w:val="008C76CA"/>
    <w:rsid w:val="008D5516"/>
    <w:rsid w:val="008F4C8D"/>
    <w:rsid w:val="008F7FC1"/>
    <w:rsid w:val="0092407D"/>
    <w:rsid w:val="00931DA2"/>
    <w:rsid w:val="009428BC"/>
    <w:rsid w:val="00957142"/>
    <w:rsid w:val="0096014E"/>
    <w:rsid w:val="009863E9"/>
    <w:rsid w:val="00994097"/>
    <w:rsid w:val="009F6C98"/>
    <w:rsid w:val="00A073B6"/>
    <w:rsid w:val="00A2523F"/>
    <w:rsid w:val="00A54AAF"/>
    <w:rsid w:val="00A90A25"/>
    <w:rsid w:val="00AB262A"/>
    <w:rsid w:val="00B1558D"/>
    <w:rsid w:val="00B17043"/>
    <w:rsid w:val="00B24537"/>
    <w:rsid w:val="00B273E3"/>
    <w:rsid w:val="00B61268"/>
    <w:rsid w:val="00B7185D"/>
    <w:rsid w:val="00B80C18"/>
    <w:rsid w:val="00B85862"/>
    <w:rsid w:val="00B95C13"/>
    <w:rsid w:val="00BA6D4F"/>
    <w:rsid w:val="00BC7A69"/>
    <w:rsid w:val="00BD0D36"/>
    <w:rsid w:val="00BE629B"/>
    <w:rsid w:val="00BF0441"/>
    <w:rsid w:val="00BF58C0"/>
    <w:rsid w:val="00C8021F"/>
    <w:rsid w:val="00CA241A"/>
    <w:rsid w:val="00CB245A"/>
    <w:rsid w:val="00CD4CC1"/>
    <w:rsid w:val="00CE42A6"/>
    <w:rsid w:val="00D007AD"/>
    <w:rsid w:val="00D128B0"/>
    <w:rsid w:val="00D273D6"/>
    <w:rsid w:val="00D33D3F"/>
    <w:rsid w:val="00D727BB"/>
    <w:rsid w:val="00DB345A"/>
    <w:rsid w:val="00DC6008"/>
    <w:rsid w:val="00DF5221"/>
    <w:rsid w:val="00E044C3"/>
    <w:rsid w:val="00E17EE2"/>
    <w:rsid w:val="00E42DCE"/>
    <w:rsid w:val="00E461F5"/>
    <w:rsid w:val="00E56CB3"/>
    <w:rsid w:val="00E7662F"/>
    <w:rsid w:val="00E95E28"/>
    <w:rsid w:val="00EA6898"/>
    <w:rsid w:val="00EC3E14"/>
    <w:rsid w:val="00ED3BA9"/>
    <w:rsid w:val="00ED3E5E"/>
    <w:rsid w:val="00ED4D11"/>
    <w:rsid w:val="00EE0E35"/>
    <w:rsid w:val="00EE4D93"/>
    <w:rsid w:val="00F16968"/>
    <w:rsid w:val="00F35725"/>
    <w:rsid w:val="00F70564"/>
    <w:rsid w:val="00F82109"/>
    <w:rsid w:val="00F85D87"/>
    <w:rsid w:val="00F86E87"/>
    <w:rsid w:val="00F90A0C"/>
    <w:rsid w:val="00F97E69"/>
    <w:rsid w:val="00FC1971"/>
    <w:rsid w:val="00FC3C5F"/>
    <w:rsid w:val="00FF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6F80"/>
  <w15:chartTrackingRefBased/>
  <w15:docId w15:val="{B1702F7A-E89A-48FF-91DF-232F78B22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4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8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2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B245A"/>
    <w:rPr>
      <w:color w:val="0000FF"/>
      <w:u w:val="single"/>
    </w:rPr>
  </w:style>
  <w:style w:type="character" w:customStyle="1" w:styleId="post">
    <w:name w:val="post"/>
    <w:basedOn w:val="a0"/>
    <w:rsid w:val="00CB245A"/>
  </w:style>
  <w:style w:type="paragraph" w:styleId="a4">
    <w:name w:val="Normal (Web)"/>
    <w:basedOn w:val="a"/>
    <w:uiPriority w:val="99"/>
    <w:unhideWhenUsed/>
    <w:rsid w:val="00CB24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245A"/>
    <w:rPr>
      <w:b/>
      <w:bCs/>
    </w:rPr>
  </w:style>
  <w:style w:type="character" w:styleId="a6">
    <w:name w:val="Emphasis"/>
    <w:basedOn w:val="a0"/>
    <w:uiPriority w:val="20"/>
    <w:qFormat/>
    <w:rsid w:val="00CB245A"/>
    <w:rPr>
      <w:i/>
      <w:iCs/>
    </w:rPr>
  </w:style>
  <w:style w:type="paragraph" w:styleId="a7">
    <w:name w:val="List Paragraph"/>
    <w:basedOn w:val="a"/>
    <w:uiPriority w:val="34"/>
    <w:qFormat/>
    <w:rsid w:val="00742FB9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D128B0"/>
    <w:rPr>
      <w:color w:val="605E5C"/>
      <w:shd w:val="clear" w:color="auto" w:fill="E1DFDD"/>
    </w:rPr>
  </w:style>
  <w:style w:type="paragraph" w:customStyle="1" w:styleId="uk-active">
    <w:name w:val="uk-active"/>
    <w:basedOn w:val="a"/>
    <w:rsid w:val="006F1E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52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F58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97E69"/>
  </w:style>
  <w:style w:type="paragraph" w:styleId="ab">
    <w:name w:val="footer"/>
    <w:basedOn w:val="a"/>
    <w:link w:val="ac"/>
    <w:uiPriority w:val="99"/>
    <w:unhideWhenUsed/>
    <w:rsid w:val="00F97E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97E69"/>
  </w:style>
  <w:style w:type="character" w:styleId="ad">
    <w:name w:val="FollowedHyperlink"/>
    <w:basedOn w:val="a0"/>
    <w:uiPriority w:val="99"/>
    <w:semiHidden/>
    <w:unhideWhenUsed/>
    <w:rsid w:val="008B7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3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6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dgs.by/wp-content/uploads/2026/02/gomel-region_strategy-2040_elektronnaya-versiy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dgplatform.belstat.gov.by/sites/belstatfront/home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dgregions.belstat.gov.by/?regionId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platform.belstat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1777</Words>
  <Characters>10135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Янченкова Елена М.</dc:creator>
  <cp:keywords/>
  <dc:description/>
  <cp:lastModifiedBy>Янченкова Елена М.</cp:lastModifiedBy>
  <cp:revision>23</cp:revision>
  <cp:lastPrinted>2022-09-14T07:39:00Z</cp:lastPrinted>
  <dcterms:created xsi:type="dcterms:W3CDTF">2026-04-29T05:54:00Z</dcterms:created>
  <dcterms:modified xsi:type="dcterms:W3CDTF">2026-04-30T05:13:00Z</dcterms:modified>
</cp:coreProperties>
</file>